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10"/>
        <w:gridCol w:w="4818"/>
        <w:gridCol w:w="4829"/>
      </w:tblGrid>
      <w:tr w:rsidR="006E35E5" w:rsidRPr="00624CD5" w14:paraId="5E68B3E6" w14:textId="77777777" w:rsidTr="00EA6D41">
        <w:trPr>
          <w:trHeight w:hRule="exact" w:val="794"/>
        </w:trPr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8DD22E" w14:textId="77777777" w:rsidR="006E35E5" w:rsidRPr="00FD21ED" w:rsidRDefault="006E35E5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5B7383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8203608" wp14:editId="76C5A0DA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5" name="Grafik 3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7383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 w:rsidRPr="005B7383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2.4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9F1" w14:textId="77777777" w:rsidR="006E35E5" w:rsidRPr="00084EB3" w:rsidRDefault="006E35E5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03B5541E" w14:textId="77777777" w:rsidR="006E35E5" w:rsidRPr="00624CD5" w:rsidRDefault="006E35E5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280983229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80983229"/>
          </w:p>
        </w:tc>
      </w:tr>
      <w:tr w:rsidR="006E35E5" w:rsidRPr="00FD21ED" w14:paraId="7F3CF7DA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A76D0" w14:textId="77777777" w:rsidR="006E35E5" w:rsidRPr="00FD21ED" w:rsidRDefault="006E35E5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Parametervergleichende Eingangskontrolle und Montage von prismatischen Einstärkengläsern sowie von Mehrstärken- und Sportbrillengläsern</w:t>
            </w:r>
          </w:p>
        </w:tc>
      </w:tr>
      <w:tr w:rsidR="006E35E5" w14:paraId="76760FF8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60FD74C8" w14:textId="77777777" w:rsidR="006E35E5" w:rsidRPr="00237476" w:rsidRDefault="006E35E5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b: Bearbeiten und Pflegen von augenoptischen Produkten</w:t>
            </w:r>
          </w:p>
        </w:tc>
      </w:tr>
      <w:tr w:rsidR="006E35E5" w:rsidRPr="00FC0C7E" w14:paraId="48B47C90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2A4F8BD7" w14:textId="77777777" w:rsidR="006E35E5" w:rsidRPr="00237476" w:rsidRDefault="006E35E5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b1: </w:t>
            </w:r>
            <w:r w:rsidRPr="00237476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237476">
              <w:rPr>
                <w:rFonts w:ascii="Arial" w:hAnsi="Arial" w:cs="Arial"/>
                <w:color w:val="007124"/>
                <w:sz w:val="16"/>
                <w:szCs w:val="16"/>
              </w:rPr>
              <w:t xml:space="preserve">Augenoptische Produkte montieren, nachbearbeiten und reparieren </w:t>
            </w:r>
          </w:p>
        </w:tc>
      </w:tr>
      <w:tr w:rsidR="006E35E5" w:rsidRPr="00FC0C7E" w14:paraId="5E6B2DE6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4F1B88C3" w14:textId="77777777" w:rsidR="006E35E5" w:rsidRDefault="006E35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6E5A829E" w14:textId="77777777" w:rsidR="006E35E5" w:rsidRDefault="006E35E5" w:rsidP="00EA6D41">
            <w:pPr>
              <w:spacing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206F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Am Morgen wurde ein Paket mit neuen Brillengläsern geliefert. Die lernende Person packt diese in der Werkstatt aus. Sie kontrolliert alle Brillengläser auf Produktionsfehler, misst die Korrekturwerte nach und arbeitet die </w:t>
            </w:r>
            <w:proofErr w:type="spellStart"/>
            <w:r w:rsidRPr="00C206F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Einstärken</w:t>
            </w:r>
            <w:proofErr w:type="spellEnd"/>
            <w:r w:rsidRPr="00C206F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- und Mehrstärkengläser </w:t>
            </w:r>
            <w:proofErr w:type="spellStart"/>
            <w:r w:rsidRPr="00C206F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anschliessend</w:t>
            </w:r>
            <w:proofErr w:type="spellEnd"/>
            <w:r w:rsidRPr="00C206F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in die Brillenfassungen ein. Besonderes Augenmerk legt sie auf die Bearbeitung der Sportbrillen, deren Durchwölbung nicht der klassischen Brillenfassung entspricht.</w:t>
            </w:r>
          </w:p>
          <w:p w14:paraId="2151E92D" w14:textId="77777777" w:rsidR="006E35E5" w:rsidRPr="00507DD4" w:rsidRDefault="006E35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6E35E5" w:rsidRPr="00507DD4" w14:paraId="1CB58988" w14:textId="77777777" w:rsidTr="00EA6D41">
        <w:trPr>
          <w:gridBefore w:val="1"/>
          <w:wBefore w:w="10" w:type="dxa"/>
          <w:trHeight w:hRule="exact" w:val="2325"/>
        </w:trPr>
        <w:tc>
          <w:tcPr>
            <w:tcW w:w="9642" w:type="dxa"/>
            <w:gridSpan w:val="2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50CCC67E" w14:textId="77777777" w:rsidR="006E35E5" w:rsidRPr="00AC18AD" w:rsidRDefault="006E35E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5AE7A5DD" w14:textId="77777777" w:rsidR="006E35E5" w:rsidRPr="00E11071" w:rsidRDefault="006E35E5" w:rsidP="00EA6D41">
            <w:pPr>
              <w:spacing w:line="264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machen die Eingangskontrolle einer </w:t>
            </w:r>
            <w:proofErr w:type="spellStart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Brillenglaslieferung</w:t>
            </w:r>
            <w:proofErr w:type="spellEnd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ontrollieren Sie die Brillengläser auf die Übereinstimmung mit der Bestellung und ob die Montage so ausführbar ist.</w:t>
            </w:r>
          </w:p>
          <w:p w14:paraId="03D3042D" w14:textId="77777777" w:rsidR="006E35E5" w:rsidRPr="00E11071" w:rsidRDefault="006E35E5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Erarbeiten Sie eine Checkliste für die Kontrolle der gewölbten Sportbrillengläser und prismatischen </w:t>
            </w:r>
            <w:proofErr w:type="spellStart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Einstärken</w:t>
            </w:r>
            <w:proofErr w:type="spellEnd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sowie Mehrstärkengläser. </w:t>
            </w:r>
          </w:p>
          <w:p w14:paraId="5153F39C" w14:textId="77777777" w:rsidR="006E35E5" w:rsidRPr="00E11071" w:rsidRDefault="006E35E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Kontrollieren Sie, ob die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Brilleng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läser in die Fassung sinnvoll montiert werden können (z.B. </w:t>
            </w:r>
            <w:proofErr w:type="spellStart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Einschleifhöhe</w:t>
            </w:r>
            <w:proofErr w:type="spellEnd"/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 Abhängigkeit zu Kanallänge, Durchwölbung der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Brilleng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läser in Bezug auf die Fassungskurve,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…</w:t>
            </w:r>
            <w:r w:rsidRPr="00E11071">
              <w:rPr>
                <w:rFonts w:ascii="Arial" w:hAnsi="Arial" w:cs="Arial"/>
                <w:color w:val="000000" w:themeColor="text1"/>
                <w:sz w:val="20"/>
                <w:szCs w:val="20"/>
              </w:rPr>
              <w:t>) und beschreiben Sie die Kontrolle detailliert.</w:t>
            </w:r>
          </w:p>
        </w:tc>
      </w:tr>
    </w:tbl>
    <w:p w14:paraId="7B69E26C" w14:textId="77777777" w:rsidR="006E35E5" w:rsidRDefault="006E35E5" w:rsidP="006E35E5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1AC3" w14:textId="77777777" w:rsidR="00691044" w:rsidRDefault="00691044">
      <w:pPr>
        <w:spacing w:after="0" w:line="240" w:lineRule="auto"/>
      </w:pPr>
      <w:r>
        <w:separator/>
      </w:r>
    </w:p>
  </w:endnote>
  <w:endnote w:type="continuationSeparator" w:id="0">
    <w:p w14:paraId="6DBA416F" w14:textId="77777777" w:rsidR="00691044" w:rsidRDefault="00691044">
      <w:pPr>
        <w:spacing w:after="0" w:line="240" w:lineRule="auto"/>
      </w:pPr>
      <w:r>
        <w:continuationSeparator/>
      </w:r>
    </w:p>
  </w:endnote>
  <w:endnote w:type="continuationNotice" w:id="1">
    <w:p w14:paraId="7EDE013E" w14:textId="77777777" w:rsidR="00691044" w:rsidRDefault="006910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62013212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7B6055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D9800" w14:textId="77777777" w:rsidR="00691044" w:rsidRDefault="00691044">
      <w:pPr>
        <w:spacing w:after="0" w:line="240" w:lineRule="auto"/>
      </w:pPr>
      <w:r>
        <w:separator/>
      </w:r>
    </w:p>
  </w:footnote>
  <w:footnote w:type="continuationSeparator" w:id="0">
    <w:p w14:paraId="2F756DAB" w14:textId="77777777" w:rsidR="00691044" w:rsidRDefault="00691044">
      <w:pPr>
        <w:spacing w:after="0" w:line="240" w:lineRule="auto"/>
      </w:pPr>
      <w:r>
        <w:continuationSeparator/>
      </w:r>
    </w:p>
  </w:footnote>
  <w:footnote w:type="continuationNotice" w:id="1">
    <w:p w14:paraId="75D018E8" w14:textId="77777777" w:rsidR="00691044" w:rsidRDefault="006910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TPLhUUuWHy5Ifv6mgY/bt7IMHQqOPs/jWEHj06GRxLVY87xuj+PPgBL1wcBL1SdEVQ6TvpCh7hLzQtxkDJKqg==" w:salt="V0XmPeIu+AC/Jza+tGxRh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0C35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04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35E5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055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02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1393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2023-03-02T13:05:00Z</dcterms:created>
  <dcterms:modified xsi:type="dcterms:W3CDTF">2023-03-02T13:05:00Z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