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10"/>
        <w:gridCol w:w="4800"/>
        <w:gridCol w:w="4808"/>
        <w:gridCol w:w="24"/>
        <w:gridCol w:w="10"/>
      </w:tblGrid>
      <w:tr w:rsidR="00E75FC7" w14:paraId="39081600" w14:textId="77777777" w:rsidTr="00EA6D41">
        <w:trPr>
          <w:gridAfter w:val="2"/>
          <w:wAfter w:w="24" w:type="dxa"/>
          <w:trHeight w:hRule="exact" w:val="794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861FF8" w14:textId="77777777" w:rsidR="00E75FC7" w:rsidRPr="00FD21ED" w:rsidRDefault="00E75FC7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C172E2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89BD3C5" wp14:editId="0D181F36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95" name="Grafik 95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24CD5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1.8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56F7" w14:textId="77777777" w:rsidR="00E75FC7" w:rsidRPr="008B2286" w:rsidRDefault="00E75FC7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316634E5" w14:textId="77777777" w:rsidR="00E75FC7" w:rsidRDefault="00E75FC7" w:rsidP="00EA6D41">
            <w:pPr>
              <w:spacing w:before="120"/>
              <w:rPr>
                <w:rFonts w:ascii="Arial" w:hAnsi="Arial" w:cs="Arial"/>
                <w:b/>
                <w:bCs/>
                <w:color w:val="9B1768"/>
                <w:sz w:val="24"/>
                <w:szCs w:val="24"/>
              </w:rPr>
            </w:pPr>
            <w:permStart w:id="128438678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84386780"/>
          </w:p>
        </w:tc>
      </w:tr>
      <w:tr w:rsidR="00E75FC7" w:rsidRPr="008623C2" w14:paraId="7ECDB9FC" w14:textId="77777777" w:rsidTr="00EA6D41">
        <w:trPr>
          <w:gridAfter w:val="1"/>
          <w:wAfter w:w="10" w:type="dxa"/>
          <w:trHeight w:hRule="exact" w:val="1247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0CB8E" w14:textId="77777777" w:rsidR="00E75FC7" w:rsidRPr="00FD21ED" w:rsidRDefault="00E75FC7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 xml:space="preserve">Parametervergleichende Eingangskontrolle und Montage von Einstärkengläsern: Brillengläser von Hand </w:t>
            </w:r>
            <w:proofErr w:type="spellStart"/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umschleifen</w:t>
            </w:r>
            <w:proofErr w:type="spellEnd"/>
          </w:p>
        </w:tc>
      </w:tr>
      <w:tr w:rsidR="00E75FC7" w14:paraId="7B63099E" w14:textId="77777777" w:rsidTr="00EA6D41">
        <w:tblPrEx>
          <w:tblBorders>
            <w:top w:val="single" w:sz="4" w:space="0" w:color="007124"/>
            <w:left w:val="single" w:sz="4" w:space="0" w:color="007124"/>
            <w:bottom w:val="single" w:sz="4" w:space="0" w:color="007124"/>
            <w:right w:val="single" w:sz="4" w:space="0" w:color="007124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42" w:type="dxa"/>
            <w:gridSpan w:val="3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3564E99D" w14:textId="77777777" w:rsidR="00E75FC7" w:rsidRPr="00946893" w:rsidRDefault="00E75FC7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bookmarkStart w:id="0" w:name="_Hlk102668872"/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b: Bearbeiten und Pflegen von augenoptischen Produkten</w:t>
            </w:r>
          </w:p>
        </w:tc>
      </w:tr>
      <w:bookmarkEnd w:id="0"/>
      <w:tr w:rsidR="00E75FC7" w:rsidRPr="00FC0C7E" w14:paraId="1DCB3849" w14:textId="77777777" w:rsidTr="00EA6D41"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42" w:type="dxa"/>
            <w:gridSpan w:val="3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2174ED95" w14:textId="77777777" w:rsidR="00E75FC7" w:rsidRPr="00946893" w:rsidRDefault="00E75FC7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946893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 xml:space="preserve">b1: </w:t>
            </w:r>
            <w:r w:rsidRPr="00946893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</w:r>
            <w:r w:rsidRPr="00946893">
              <w:rPr>
                <w:rFonts w:ascii="Arial" w:hAnsi="Arial" w:cs="Arial"/>
                <w:color w:val="007124"/>
                <w:sz w:val="16"/>
                <w:szCs w:val="16"/>
              </w:rPr>
              <w:t xml:space="preserve">Augenoptische Produkte montieren, nachbearbeiten und reparieren </w:t>
            </w:r>
          </w:p>
        </w:tc>
      </w:tr>
      <w:tr w:rsidR="00E75FC7" w:rsidRPr="00FC0C7E" w14:paraId="5291F6B3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4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183B031E" w14:textId="77777777" w:rsidR="00E75FC7" w:rsidRDefault="00E75FC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2AF34B06" w14:textId="77777777" w:rsidR="00E75FC7" w:rsidRPr="00162847" w:rsidRDefault="00E75FC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A53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Am Morgen wurde ein Paket mit neuen Brillengläsern geliefert. Die lernende Person packt dieses in der Werkstatt aus. Aufgrund ihres Ausbildungsstandes kontrolliert sie </w:t>
            </w:r>
            <w:proofErr w:type="spellStart"/>
            <w:r w:rsidRPr="00BA53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ausschliesslich</w:t>
            </w:r>
            <w:proofErr w:type="spellEnd"/>
            <w:r w:rsidRPr="00BA53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die Einstärkengläser auf Produktionsfehler, misst deren Korrekturwerte nach und arbeitet die Einstärkengläser </w:t>
            </w:r>
            <w:proofErr w:type="spellStart"/>
            <w:r w:rsidRPr="00BA53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anschliessend</w:t>
            </w:r>
            <w:proofErr w:type="spellEnd"/>
            <w:r w:rsidRPr="00BA53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in die Brillenfassungen ein.</w:t>
            </w:r>
          </w:p>
        </w:tc>
      </w:tr>
      <w:tr w:rsidR="00E75FC7" w:rsidRPr="00FC0C7E" w14:paraId="428322D3" w14:textId="77777777" w:rsidTr="00EA6D41">
        <w:trPr>
          <w:gridBefore w:val="1"/>
          <w:gridAfter w:val="1"/>
          <w:wBefore w:w="10" w:type="dxa"/>
          <w:wAfter w:w="10" w:type="dxa"/>
          <w:trHeight w:hRule="exact" w:val="2041"/>
        </w:trPr>
        <w:tc>
          <w:tcPr>
            <w:tcW w:w="9642" w:type="dxa"/>
            <w:gridSpan w:val="3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44B222D8" w14:textId="77777777" w:rsidR="00E75FC7" w:rsidRPr="00AC18AD" w:rsidRDefault="00E75FC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00EF8EF1" w14:textId="77777777" w:rsidR="00E75FC7" w:rsidRPr="00507DD4" w:rsidRDefault="00E75FC7" w:rsidP="00EA6D41">
            <w:pPr>
              <w:spacing w:before="120" w:after="120" w:line="264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7DD4">
              <w:rPr>
                <w:rFonts w:ascii="Arial" w:hAnsi="Arial" w:cs="Arial"/>
                <w:color w:val="000000" w:themeColor="text1"/>
                <w:sz w:val="20"/>
                <w:szCs w:val="20"/>
              </w:rPr>
              <w:t>Bestehende Kundengläser müssen in eine neue Brillenfassung montiert werden.</w:t>
            </w:r>
          </w:p>
          <w:p w14:paraId="014B5832" w14:textId="77777777" w:rsidR="00E75FC7" w:rsidRPr="00507DD4" w:rsidRDefault="00E75FC7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507D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Schleifen Sie in der Werkstatt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Brilleng</w:t>
            </w:r>
            <w:r w:rsidRPr="00507DD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läser von Hand um.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07DD4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Dokumentieren Sie schrittweise Ihr Vorgehen.</w:t>
            </w:r>
          </w:p>
        </w:tc>
      </w:tr>
    </w:tbl>
    <w:p w14:paraId="3BDBC185" w14:textId="77777777" w:rsidR="00E75FC7" w:rsidRDefault="00E75FC7" w:rsidP="00E75FC7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1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1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2BB2F" w14:textId="77777777" w:rsidR="00F323B7" w:rsidRDefault="00F323B7">
      <w:pPr>
        <w:spacing w:after="0" w:line="240" w:lineRule="auto"/>
      </w:pPr>
      <w:r>
        <w:separator/>
      </w:r>
    </w:p>
  </w:endnote>
  <w:endnote w:type="continuationSeparator" w:id="0">
    <w:p w14:paraId="4853FDFD" w14:textId="77777777" w:rsidR="00F323B7" w:rsidRDefault="00F323B7">
      <w:pPr>
        <w:spacing w:after="0" w:line="240" w:lineRule="auto"/>
      </w:pPr>
      <w:r>
        <w:continuationSeparator/>
      </w:r>
    </w:p>
  </w:endnote>
  <w:endnote w:type="continuationNotice" w:id="1">
    <w:p w14:paraId="13E837B1" w14:textId="77777777" w:rsidR="00F323B7" w:rsidRDefault="00F323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0662FB41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6CAD" w14:textId="77777777" w:rsidR="00F323B7" w:rsidRDefault="00F323B7">
      <w:pPr>
        <w:spacing w:after="0" w:line="240" w:lineRule="auto"/>
      </w:pPr>
      <w:r>
        <w:separator/>
      </w:r>
    </w:p>
  </w:footnote>
  <w:footnote w:type="continuationSeparator" w:id="0">
    <w:p w14:paraId="0FC364D5" w14:textId="77777777" w:rsidR="00F323B7" w:rsidRDefault="00F323B7">
      <w:pPr>
        <w:spacing w:after="0" w:line="240" w:lineRule="auto"/>
      </w:pPr>
      <w:r>
        <w:continuationSeparator/>
      </w:r>
    </w:p>
  </w:footnote>
  <w:footnote w:type="continuationNotice" w:id="1">
    <w:p w14:paraId="56B5B17F" w14:textId="77777777" w:rsidR="00F323B7" w:rsidRDefault="00F323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80lcA49npYsRy354BI+gbs8m3n5jkohQq+z/bEIkRE7XTRj+hPWBve63VS2L/oabeTREjgjj2Xxp/Pj1DrXSA==" w:salt="uAvfq6Uz4ytO7xTeeTVyA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B72FE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5FC7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23B7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951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2023-03-02T12:54:00Z</dcterms:created>
  <dcterms:modified xsi:type="dcterms:W3CDTF">2023-03-02T12:54:00Z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